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261</w:t>
      </w:r>
    </w:p>
    <w:p>
      <w:r>
        <w:t>Bundesgericht (BGE), 2013-01-01, DE</w:t>
      </w:r>
    </w:p>
    <w:p>
      <w:r>
        <w:rPr>
          <w:b/>
        </w:rPr>
        <w:t xml:space="preserve">Quelle: </w:t>
      </w:r>
      <w:r>
        <w:t>https://mcp.opencaselaw.ch/entscheid/bge_139 IV 261</w:t>
      </w:r>
    </w:p>
    <w:p>
      <w:r>
        <w:t>FR: ATF 139 IV 261</w:t>
      </w:r>
    </w:p>
    <w:p>
      <w:r>
        <w:t>IT: DTF 139 IV 261</w:t>
      </w:r>
    </w:p>
    <w:p>
      <w:pPr>
        <w:pStyle w:val="Heading2"/>
      </w:pPr>
      <w:r>
        <w:t>Regeste</w:t>
      </w:r>
    </w:p>
    <w:p>
      <w:r>
        <w:t>Regeste Art. 135 StPO; Entschädigung der amtlichen Verteidigung. Art. 135 Abs. 1 StPO regelt die Entschädigung der amtlichen Verteidigung mit Hinweis auf die anwendbaren Anwaltstarife des Bundes oder der Kantone. Sehen diese ein reduziertes Honorar vor, gelangt es unabhängig vom Prozessausgang zur Anwendung (E. 2).</w:t>
      </w:r>
    </w:p>
    <w:p>
      <w:pPr>
        <w:pStyle w:val="Heading2"/>
      </w:pPr>
      <w:r>
        <w:t>Erwägungen</w:t>
      </w:r>
    </w:p>
    <w:p>
      <w:r>
        <w:rPr>
          <w:b/>
        </w:rPr>
        <w:t>E. 2</w:t>
      </w:r>
    </w:p>
    <w:p>
      <w:r>
        <w:t>Der Beschwerdeführer macht geltend, nach der kantonalen Praxis (Urteil 6B_63/2010 vom 6. Mai 2010 E. 2.4) sei die Entschädigung des obsiegenden Beschuldigten unabhängig davon festzusetzen, ob eine amtliche oder private Verteidigung besteht.</w:t>
      </w:r>
    </w:p>
    <w:p>
      <w:r>
        <w:rPr>
          <w:b/>
        </w:rPr>
        <w:t>E. 2.1</w:t>
      </w:r>
    </w:p>
    <w:p>
      <w:r>
        <w:t>Die Vorinstanz entschädigte den Aufwand des Beschwerdeführers gemäss Art. 5 der Verordnung des Kantons Graubünden vom 17. März 2009 über die Bemessung des Honorars der Rechtsanwältinnen und Rechtsanwälte (HV/GR; BR 310.250) mit einem Stundenansatz von Fr. 200.-. Sie begründete die Praxisänderung mit dem Inkrafttreten der StPO.</w:t>
      </w:r>
    </w:p>
    <w:p>
      <w:r>
        <w:rPr>
          <w:b/>
        </w:rPr>
        <w:t>E. 2.2</w:t>
      </w:r>
    </w:p>
    <w:p>
      <w:r>
        <w:t>Gemäss Art. 135 Abs. 1 StPO wird die amtliche Verteidigung nach dem Anwaltstarif (conformément au tarif; secondo la tariffa) des Bundes oder desjenigen Kantons entschädigt, in dem das Strafverfahren geführt wurde. BGE 139 IV 261 S. 263</w:t>
      </w:r>
    </w:p>
    <w:p>
      <w:r>
        <w:rPr>
          <w:b/>
        </w:rPr>
        <w:t>E. 2.2.1</w:t>
      </w:r>
    </w:p>
    <w:p>
      <w:r>
        <w:t>Rechtsgrundlage für die Entschädigung bildet das öffentlich-rechtliche Verhältnis zwischen Bund oder Kanton und amtlicher Verteidigung. Für die Entschädigung haftet allein der Staat. Der Mandant wird aus dem öffentlichen Prozessrechtsverhältnis insoweit mittelbar berechtigt und verpflichtet, als er die amtliche Verteidigung grundsätzlich akzeptieren muss und der Staat die Entschädigung übernimmt (vgl. BGE 131 I 217 E. 2.4; BGE 122 I 1 E. 3a). Die Verteidigung erhält das tariflich festgelegte Honorar für die Übernahme einer öffentlichen Aufgabe und trägt nicht das Risiko der Uneinbringlichkeit (vgl. BGE 131 I 217 E. 2.5). Unter Vorbehalt von Art. 135 Abs. 4 lit. b StPO kann der Verteidiger von seinem Mandanten keine weitere Vergütung verlangen (Urteil 6B_45/2012 vom 7. Mai 2012 E. 1.2 mit Hinweisen). Rechtsanwälte sind für amtliche Mandate von Verfassungs wegen angemessen zu honorieren, wobei eine Kürzung des Honorars im Vergleich zum ordentlichen Tarif zulässig bleibt ( BGE 132 I 201 E. 7.3.4 S. 209). Die Entschädigung muss sich in der Grössenordnung von Fr. 180.- pro Stunde (zuzüglich MWSt) bewegen ( BGE 132 I 201 E. 8.7 S. 217). BGE 137 III 185 E. 5.1 ff. bestätigte diese Rechtsprechung.</w:t>
      </w:r>
    </w:p>
    <w:p>
      <w:r>
        <w:rPr>
          <w:b/>
        </w:rPr>
        <w:t>E. 2.2.2</w:t>
      </w:r>
    </w:p>
    <w:p>
      <w:r>
        <w:t>Die StPO regelt die Entschädigung der amtlichen Verteidigung bei Freispruch oder Einstellung des Verfahrens bzw. bei Obsiegen im Rechtsmittelverfahren nicht explizit. Die allgemeinen Bestimmungen über die Entschädigung für die angemessene Ausübung der Verfahrensrechte bei Freispruch oder Einstellung des Verfahrens ( Art. 429 Abs. 1 lit. a und Art. 436 Abs. 2 StPO ) betreffen die Kosten einer Wahlverteidigung und sind auf die amtliche Verteidigung nicht anwendbar ( BGE 138 IV 205 E. 1; Urteil 6B_77/2013 vom 4. März 2013 E. 1). Mit dem Freispruch oder der Verfahrenseinstellung wandelt sich das öffentlich-rechtliche Verhältnis zwischen Staat und amtlicher Verteidigung nicht in ein Privatrechtsverhältnis zwischen Verteidigung und Mandanten (Urteil 6B_183/2007 vom 5. September 2007 E. 3.2). Die amtliche Verteidigung besitzt nicht die Rechte einer Verfahrenspartei ( Art. 104 Abs. 1 StPO ; BGE 139 IV 199 E. 5.2). Ihre Entschädigung richtet sich allein nach Art. 135 StPO . Die Rechtsprechung zu den kantonalen Strafprozessgesetzen ist insoweit überholt (beispielsweise die oben in E. 2 und in BGE 137 III 185 E. 5.3 erwähnten Urteile der Strafrechtlichen Abteilung des Bundesgerichts [anders noch Urteil 5A_199/2012 vom 31. Mai 2012 E. 3.3 in einem obiter dictum zum Minimalanspruch von 60 % der ordentlichen BGE 139 IV 261 S. 264 Entschädigung] und BGE BGE 121 I 113 E. 3d; vgl. Urteile 6B_144/2012 vom 16. August 2012 E. 1.2 und 6B_363/2012 vom 10. September 2012 E. 1.2).</w:t>
      </w:r>
    </w:p>
    <w:p>
      <w:r>
        <w:rPr>
          <w:b/>
        </w:rPr>
        <w:t>E. 2.2.3</w:t>
      </w:r>
    </w:p>
    <w:p>
      <w:r>
        <w:t>Eine volle Entschädigung lässt sich auch nicht mit Art. 135 Abs. 4 lit. b StPO begründen, wonach die zu den Verfahrenskosten verurteilte beschuldigte Person bei wirtschaftlicher Besserstellung "der Verteidigung die Differenz zwischen der amtlichen Entschädigung und dem vollen Honorar zu erstatten" hat. Hieraus kann nicht unter Heranziehung des einen anderen Sachverhalt regelnden Art. 429 Abs. 1 lit. a StPO auf einen impliziten Grundsatz des ungekürzten Honoraranspruchs der amtlichen Verteidigung geschlossen werden. Wortlaut und Systematik des Gesetzes sprechen gegen eine solche Einschränkung der generellen Verweisung in Art. 135 Abs. 1 StPO durch dessen Abs. 4 lit. b. Mit der föderalistischen Regelung in Abs. 1 von Art. 135 StPO anerkennt der Bundesgesetzgeber ausdrücklich unterschiedliche kantonale Anwaltstarife. Wie die Botschaft vom 21. Dezember 2005 zur Vereinheitlichung des Strafprozessrechts ausführt, erhält die amtliche Verteidigung damit je nach Kanton das gleiche Honorar wie eine frei bestellte oder aber ein reduziertes, amtliches Honorar (BBl 2006 1085, 1180 zu Art. 133). Art. 135 Abs. 4 lit. b StPO will nach der gesetzgeberischen Konzeption sicherstellen, dass eine beschuldigte Person mit amtlicher Verteidigung finanziell nicht besser gestellt wird als eine mit privater Verteidigung (Botschaft a.a.O., S. 1180 f. zu Art. 133). Es geht um eine Gleichstellung der zu den Verfahrenskosten verurteilten Personen und nicht um eine Gleichstellung der amtlichen mit der privaten Verteidigung. Dass die amtliche Verteidigung bei Verurteilung des Mandanten zu den Verfahrenskosten im Prinzip finanziell besser gestellt wird (weil sie die "Differenz" einfordern kann) als bei Freispruch oder Verfahrenseinstellung, wo in der Regel keine Kosten auferlegt werden (und entsprechend die "Differenz" nicht zu erstatten ist), muss als gesetzliche Konsequenz hingenommen werden.</w:t>
      </w:r>
    </w:p>
    <w:p>
      <w:r>
        <w:rPr>
          <w:b/>
        </w:rPr>
        <w:t>E. 2.2.4</w:t>
      </w:r>
    </w:p>
    <w:p>
      <w:r>
        <w:t>Art. 135 Abs. 1 StPO normiert die "Entschädigung der amtlichen Verteidigung" mit Verweisung auf die anwendbaren Anwaltstarife. Die Honorierung ist, was die französische Fassung des Gesetzes klarer zum Ausdruck bringt, "conformément au tarif" des Bundes oder Kantons vorzunehmen. Wie in der ZPO (vgl. BGE 137 III 185 E. 5.2 und 5.3) verzichtete der Bundesgesetzgeber in der StPO auf eine Durchsetzung der vollen Entschädigung. BGE 139 IV 261 S. 265</w:t>
      </w:r>
    </w:p>
    <w:p>
      <w:r>
        <w:rPr>
          <w:b/>
        </w:rPr>
        <w:t>E. 2.3</w:t>
      </w:r>
    </w:p>
    <w:p>
      <w:r>
        <w:t>Gemäss Art. 3 Abs. 1 HV /GR gilt als Bemessungsgrundlage für das anwaltliche Honorar ein Stundenansatz zwischen 210 und 270 Franken. Für die unentgeltliche Vertretung und die amtliche Verteidigung beläuft er sich auf 200 Franken ( Art. 5 Abs. 1 HV /GR). Die bündnerische Honorarordnung ist nicht zu beanstanden. Sie hält sich im verfassungsrechtlichen Rahmen (oben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